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054C94">
        <w:rPr>
          <w:rFonts w:cstheme="minorHAnsi"/>
          <w:sz w:val="24"/>
          <w:szCs w:val="24"/>
          <w:lang w:val="pl-PL"/>
        </w:rPr>
        <w:t>obsługi wózka widłowego wraz z programami do fakturowania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F106-DFE5-4793-A362-870D3F88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10</cp:revision>
  <cp:lastPrinted>2022-03-25T09:46:00Z</cp:lastPrinted>
  <dcterms:created xsi:type="dcterms:W3CDTF">2022-03-25T11:51:00Z</dcterms:created>
  <dcterms:modified xsi:type="dcterms:W3CDTF">2022-05-31T07:53:00Z</dcterms:modified>
</cp:coreProperties>
</file>